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77D" w14:textId="7CFAD50F" w:rsidR="00C04941" w:rsidRDefault="00C04941">
      <w:pPr>
        <w:spacing w:after="0" w:line="259" w:lineRule="auto"/>
        <w:ind w:left="0" w:firstLine="0"/>
        <w:jc w:val="left"/>
      </w:pPr>
    </w:p>
    <w:p w14:paraId="3DCC939D" w14:textId="6C47CEEA" w:rsidR="00DD7E65" w:rsidRDefault="00DD7E65">
      <w:pPr>
        <w:spacing w:after="0" w:line="259" w:lineRule="auto"/>
        <w:ind w:left="0" w:firstLine="0"/>
        <w:jc w:val="left"/>
      </w:pPr>
    </w:p>
    <w:p w14:paraId="19D9E1E5" w14:textId="68232608" w:rsidR="00DD7E65" w:rsidRPr="00DD7E65" w:rsidRDefault="00DD7E65" w:rsidP="00DD7E65">
      <w:pPr>
        <w:spacing w:after="0" w:line="259" w:lineRule="auto"/>
        <w:ind w:left="0" w:firstLine="0"/>
        <w:jc w:val="center"/>
        <w:rPr>
          <w:b/>
          <w:bCs/>
          <w:sz w:val="36"/>
          <w:szCs w:val="36"/>
        </w:rPr>
      </w:pPr>
      <w:r w:rsidRPr="00DD7E65">
        <w:rPr>
          <w:b/>
          <w:bCs/>
          <w:sz w:val="36"/>
          <w:szCs w:val="36"/>
        </w:rPr>
        <w:t>MODELLE DE DELIBERATION</w:t>
      </w:r>
    </w:p>
    <w:p w14:paraId="0E9F214B" w14:textId="77777777" w:rsidR="00DD7E65" w:rsidRDefault="00DD7E65" w:rsidP="00DD7E65">
      <w:pPr>
        <w:spacing w:after="0" w:line="259" w:lineRule="auto"/>
        <w:ind w:left="0" w:firstLine="0"/>
        <w:jc w:val="center"/>
        <w:rPr>
          <w:b/>
          <w:bCs/>
          <w:sz w:val="36"/>
          <w:szCs w:val="36"/>
        </w:rPr>
      </w:pPr>
      <w:r w:rsidRPr="00DD7E65">
        <w:rPr>
          <w:b/>
          <w:bCs/>
          <w:sz w:val="36"/>
          <w:szCs w:val="36"/>
        </w:rPr>
        <w:t xml:space="preserve">TRANSFERT DE COMPETENCE </w:t>
      </w:r>
    </w:p>
    <w:p w14:paraId="2776FA4B" w14:textId="52F4A65D" w:rsidR="00DD7E65" w:rsidRPr="00DD7E65" w:rsidRDefault="00DD7E65" w:rsidP="00DD7E65">
      <w:pPr>
        <w:spacing w:after="0" w:line="259" w:lineRule="auto"/>
        <w:ind w:left="0" w:firstLine="0"/>
        <w:jc w:val="center"/>
        <w:rPr>
          <w:b/>
          <w:bCs/>
          <w:sz w:val="36"/>
          <w:szCs w:val="36"/>
        </w:rPr>
      </w:pPr>
      <w:r w:rsidRPr="00DD7E65">
        <w:rPr>
          <w:b/>
          <w:bCs/>
          <w:sz w:val="36"/>
          <w:szCs w:val="36"/>
        </w:rPr>
        <w:t>« Infrastructure(s) de charge pour véhicules électriques et hybrides rechargeables »</w:t>
      </w:r>
    </w:p>
    <w:p w14:paraId="7B609608" w14:textId="4368B142" w:rsidR="00DD7E65" w:rsidRPr="00DD7E65" w:rsidRDefault="00DD7E65">
      <w:pPr>
        <w:spacing w:after="0" w:line="259" w:lineRule="auto"/>
        <w:ind w:left="0" w:firstLine="0"/>
        <w:jc w:val="left"/>
        <w:rPr>
          <w:b/>
          <w:bCs/>
          <w:sz w:val="36"/>
          <w:szCs w:val="36"/>
        </w:rPr>
      </w:pPr>
    </w:p>
    <w:p w14:paraId="226510AA" w14:textId="77777777" w:rsidR="00DD7E65" w:rsidRDefault="00DD7E65">
      <w:pPr>
        <w:spacing w:after="0" w:line="259" w:lineRule="auto"/>
        <w:ind w:left="0" w:firstLine="0"/>
        <w:jc w:val="left"/>
      </w:pPr>
    </w:p>
    <w:p w14:paraId="47D45D8D" w14:textId="77777777" w:rsidR="00C04941" w:rsidRDefault="00657515">
      <w:pPr>
        <w:spacing w:after="218" w:line="259" w:lineRule="auto"/>
        <w:ind w:left="0" w:firstLine="0"/>
        <w:jc w:val="left"/>
      </w:pPr>
      <w:r>
        <w:rPr>
          <w:b/>
          <w:color w:val="7F7F7F"/>
        </w:rPr>
        <w:t xml:space="preserve"> </w:t>
      </w:r>
    </w:p>
    <w:p w14:paraId="3915CD94" w14:textId="1699F2B1" w:rsidR="00C04941" w:rsidRDefault="00657515">
      <w:pPr>
        <w:spacing w:after="240" w:line="239" w:lineRule="auto"/>
        <w:ind w:left="0" w:firstLine="0"/>
        <w:jc w:val="left"/>
      </w:pPr>
      <w:r>
        <w:rPr>
          <w:b/>
          <w:color w:val="7F7F7F"/>
        </w:rPr>
        <w:t>OBJET:</w:t>
      </w:r>
      <w:r>
        <w:rPr>
          <w:color w:val="7F7F7F"/>
        </w:rPr>
        <w:t xml:space="preserve"> Transfert de l’exercice de la compétence « </w:t>
      </w:r>
      <w:r>
        <w:rPr>
          <w:i/>
          <w:color w:val="7F7F7F"/>
        </w:rPr>
        <w:t>(IRVE)</w:t>
      </w:r>
      <w:r>
        <w:rPr>
          <w:color w:val="7F7F7F"/>
        </w:rPr>
        <w:t xml:space="preserve"> » au Syndicat Départemental d’E</w:t>
      </w:r>
      <w:r w:rsidR="00DD7E65">
        <w:rPr>
          <w:color w:val="7F7F7F"/>
        </w:rPr>
        <w:t xml:space="preserve">lectricité de Meurthe-et-Moselle </w:t>
      </w:r>
      <w:r>
        <w:rPr>
          <w:color w:val="7F7F7F"/>
        </w:rPr>
        <w:t>(SDE</w:t>
      </w:r>
      <w:r w:rsidR="00DD7E65">
        <w:rPr>
          <w:color w:val="7F7F7F"/>
        </w:rPr>
        <w:t>54</w:t>
      </w:r>
      <w:r w:rsidR="00DD7E65">
        <w:rPr>
          <w:color w:val="7F7F7F"/>
          <w:u w:val="single" w:color="000000"/>
        </w:rPr>
        <w:t>)</w:t>
      </w:r>
      <w:r>
        <w:rPr>
          <w:color w:val="7F7F7F"/>
          <w:u w:val="single" w:color="000000"/>
        </w:rPr>
        <w:t xml:space="preserve"> </w:t>
      </w:r>
    </w:p>
    <w:p w14:paraId="147C7B10" w14:textId="65700C6F" w:rsidR="00C04941" w:rsidRDefault="00657515" w:rsidP="00940EAE">
      <w:pPr>
        <w:tabs>
          <w:tab w:val="left" w:pos="8055"/>
        </w:tabs>
        <w:spacing w:after="218" w:line="259" w:lineRule="auto"/>
        <w:ind w:left="0" w:firstLine="0"/>
        <w:jc w:val="left"/>
      </w:pPr>
      <w:r>
        <w:t xml:space="preserve"> </w:t>
      </w:r>
      <w:r w:rsidR="00940EAE">
        <w:tab/>
      </w:r>
    </w:p>
    <w:p w14:paraId="70196915" w14:textId="4FD9DF1B" w:rsidR="00C04941" w:rsidRDefault="00657515">
      <w:pPr>
        <w:ind w:left="-5"/>
      </w:pPr>
      <w:r>
        <w:t xml:space="preserve">Vu </w:t>
      </w:r>
      <w:r w:rsidR="00DD7E65">
        <w:t xml:space="preserve">l’article L2224-37 </w:t>
      </w:r>
      <w:r>
        <w:t>du Code Général des Collectivités Territoriales</w:t>
      </w:r>
      <w:r w:rsidR="00DD7E65">
        <w:t xml:space="preserve"> </w:t>
      </w:r>
      <w:r>
        <w:t xml:space="preserve">permettant le transfert de la compétence </w:t>
      </w:r>
      <w:r w:rsidRPr="00DD7E65">
        <w:rPr>
          <w:i/>
          <w:iCs/>
        </w:rPr>
        <w:t>« infrastructures de charge pour véhicules électriques »</w:t>
      </w:r>
      <w:r>
        <w:t xml:space="preserve"> aux autorités organisatrices d'un réseau public de d</w:t>
      </w:r>
      <w:r w:rsidRPr="00DD7E65">
        <w:t>ist</w:t>
      </w:r>
      <w:r>
        <w:t xml:space="preserve">ribution d'électricité visées à l'article L. 2224-31 du Code général des collectivités, </w:t>
      </w:r>
    </w:p>
    <w:p w14:paraId="18208A97" w14:textId="4E52DA5A" w:rsidR="00C04941" w:rsidRDefault="00657515">
      <w:pPr>
        <w:ind w:left="-5"/>
      </w:pPr>
      <w:r>
        <w:t xml:space="preserve">Vu </w:t>
      </w:r>
      <w:r w:rsidR="00DD7E65">
        <w:t xml:space="preserve">l’article </w:t>
      </w:r>
      <w:r w:rsidR="00DD7E65" w:rsidRPr="00940EAE">
        <w:rPr>
          <w:highlight w:val="yellow"/>
        </w:rPr>
        <w:t>XXXXX</w:t>
      </w:r>
      <w:r w:rsidR="00DD7E65">
        <w:t xml:space="preserve"> d</w:t>
      </w:r>
      <w:r>
        <w:t xml:space="preserve">es statuts du </w:t>
      </w:r>
      <w:r w:rsidR="00DD7E65">
        <w:t>SDE54,</w:t>
      </w:r>
      <w:r>
        <w:t xml:space="preserve"> </w:t>
      </w:r>
      <w:r w:rsidR="00DD7E65">
        <w:t xml:space="preserve">modifié par arrêté préfectoral </w:t>
      </w:r>
      <w:r>
        <w:t xml:space="preserve">du </w:t>
      </w:r>
      <w:r w:rsidR="00DD7E65" w:rsidRPr="00DD7E65">
        <w:rPr>
          <w:highlight w:val="yellow"/>
        </w:rPr>
        <w:t>XXXXXXXXXXXXX</w:t>
      </w:r>
      <w:r w:rsidR="00DD7E65">
        <w:t>, portant compétence optionnelle au SDE54 pour</w:t>
      </w:r>
      <w:r>
        <w:t xml:space="preserve"> mettre e</w:t>
      </w:r>
      <w:r w:rsidRPr="00DD7E65">
        <w:t>n place e</w:t>
      </w:r>
      <w:r>
        <w:t xml:space="preserve">t </w:t>
      </w:r>
      <w:r w:rsidRPr="00DD7E65">
        <w:t>or</w:t>
      </w:r>
      <w:r>
        <w:t>ganiser, pour ceux de ses membres qui lui ont confié cette compétence, un service com</w:t>
      </w:r>
      <w:r w:rsidRPr="00DD7E65">
        <w:t>pre</w:t>
      </w:r>
      <w:r>
        <w:t>na</w:t>
      </w:r>
      <w:r w:rsidRPr="00DD7E65">
        <w:t>nt la cré</w:t>
      </w:r>
      <w:r>
        <w:t>ation, l’entretien et l’exploitation des infrastructures de les électriques ou hybrides rechargeables</w:t>
      </w:r>
      <w:r w:rsidR="00DD7E65">
        <w:t>,</w:t>
      </w:r>
      <w:r>
        <w:t xml:space="preserve"> </w:t>
      </w:r>
    </w:p>
    <w:p w14:paraId="02108659" w14:textId="5F43E8CE" w:rsidR="00C04941" w:rsidRDefault="00657515" w:rsidP="00DD7E65">
      <w:pPr>
        <w:ind w:left="-5"/>
      </w:pPr>
      <w:r>
        <w:t xml:space="preserve">Vu les conditions techniques et financières d’exercice de la compétence « </w:t>
      </w:r>
      <w:r w:rsidRPr="00DD7E65">
        <w:t>infrastructures de charge pour</w:t>
      </w:r>
      <w:r w:rsidR="00DD7E65">
        <w:t xml:space="preserve"> véhicules électriques et hybrides rechargeables »</w:t>
      </w:r>
      <w:r w:rsidRPr="00DD7E65">
        <w:t xml:space="preserve"> </w:t>
      </w:r>
      <w:r w:rsidR="00DD7E65">
        <w:t>fixées par délibération du comité du SDE54 en date du 30/01/2023,</w:t>
      </w:r>
    </w:p>
    <w:p w14:paraId="1C9F14B9" w14:textId="4E23457D" w:rsidR="00C04941" w:rsidRDefault="00657515">
      <w:pPr>
        <w:ind w:left="-5"/>
      </w:pPr>
      <w:r>
        <w:t>Considérant que le SDE</w:t>
      </w:r>
      <w:r w:rsidR="00DD7E65">
        <w:t xml:space="preserve">54 </w:t>
      </w:r>
      <w:r w:rsidR="008C2001">
        <w:t xml:space="preserve">a </w:t>
      </w:r>
      <w:r w:rsidR="00DD7E65">
        <w:t>réalis</w:t>
      </w:r>
      <w:r w:rsidR="008C2001">
        <w:t>é</w:t>
      </w:r>
      <w:r w:rsidR="00DD7E65">
        <w:t xml:space="preserve"> un schéma directeur départemental pour le déploiement des dites infrastructures et </w:t>
      </w:r>
      <w:r w:rsidR="008C2001">
        <w:t>a décidé d’e</w:t>
      </w:r>
      <w:r>
        <w:t xml:space="preserve">ngager un programme </w:t>
      </w:r>
      <w:r w:rsidR="008C2001">
        <w:t xml:space="preserve">pluriannuel </w:t>
      </w:r>
      <w:r>
        <w:t xml:space="preserve">de déploiement d’infrastructures de recharge pour véhicules électriques et hybrides rechargeables (IRVE), à travers un maillage </w:t>
      </w:r>
      <w:r w:rsidR="008C2001">
        <w:t xml:space="preserve">départemental </w:t>
      </w:r>
      <w:r>
        <w:t>cohérent</w:t>
      </w:r>
      <w:r w:rsidR="008C2001">
        <w:t>,</w:t>
      </w:r>
      <w:r>
        <w:t xml:space="preserve"> </w:t>
      </w:r>
    </w:p>
    <w:p w14:paraId="1DEAAED0" w14:textId="6838BE44" w:rsidR="00C04941" w:rsidRDefault="00657515">
      <w:pPr>
        <w:ind w:left="-5"/>
      </w:pPr>
      <w:r>
        <w:t xml:space="preserve">Considérant qu’en application des dispositions de l’article </w:t>
      </w:r>
      <w:r w:rsidR="008C2001" w:rsidRPr="008C2001">
        <w:rPr>
          <w:highlight w:val="yellow"/>
        </w:rPr>
        <w:t>XXXXXXX</w:t>
      </w:r>
      <w:r>
        <w:t xml:space="preserve"> des statuts du SDE</w:t>
      </w:r>
      <w:r w:rsidR="008C2001">
        <w:t>54</w:t>
      </w:r>
      <w:r>
        <w:t xml:space="preserve">, le transfert de la compétence </w:t>
      </w:r>
      <w:r>
        <w:rPr>
          <w:i/>
        </w:rPr>
        <w:t>« infrastructures de charge pour véhicules électriques »</w:t>
      </w:r>
      <w:r>
        <w:t xml:space="preserve"> </w:t>
      </w:r>
      <w:r w:rsidR="008C2001">
        <w:t>nécessite</w:t>
      </w:r>
      <w:r>
        <w:t xml:space="preserve"> l</w:t>
      </w:r>
      <w:r w:rsidR="008C2001">
        <w:t>a</w:t>
      </w:r>
      <w:r>
        <w:t xml:space="preserve"> délibération </w:t>
      </w:r>
      <w:r w:rsidR="008C2001">
        <w:t xml:space="preserve">de la </w:t>
      </w:r>
      <w:r w:rsidR="008C2001" w:rsidRPr="008C2001">
        <w:rPr>
          <w:highlight w:val="yellow"/>
        </w:rPr>
        <w:t>#####LA COLLECTIVTE####</w:t>
      </w:r>
      <w:r w:rsidR="008C2001">
        <w:t>,</w:t>
      </w:r>
    </w:p>
    <w:p w14:paraId="479491F3" w14:textId="77777777" w:rsidR="00C04941" w:rsidRDefault="00657515">
      <w:pPr>
        <w:spacing w:after="8" w:line="259" w:lineRule="auto"/>
        <w:ind w:left="0" w:firstLine="0"/>
        <w:jc w:val="left"/>
      </w:pPr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p w14:paraId="29AFEE59" w14:textId="635C4E00" w:rsidR="00C04941" w:rsidRDefault="00657515">
      <w:pPr>
        <w:ind w:left="-5"/>
      </w:pPr>
      <w:r>
        <w:t>Après en avoir délibéré, le Consei</w:t>
      </w:r>
      <w:r w:rsidR="008C2001">
        <w:t>l Communautaire</w:t>
      </w:r>
      <w:r>
        <w:t xml:space="preserve"> : </w:t>
      </w:r>
    </w:p>
    <w:p w14:paraId="5D57825B" w14:textId="50086598" w:rsidR="00C04941" w:rsidRDefault="00657515">
      <w:pPr>
        <w:numPr>
          <w:ilvl w:val="0"/>
          <w:numId w:val="1"/>
        </w:numPr>
        <w:ind w:hanging="360"/>
      </w:pPr>
      <w:r>
        <w:t xml:space="preserve">Approuve le transfert de la compétence </w:t>
      </w:r>
      <w:r>
        <w:rPr>
          <w:i/>
        </w:rPr>
        <w:t>« infrastructures de charge pour véhicules électriques »</w:t>
      </w:r>
      <w:r>
        <w:t xml:space="preserve"> au SDE</w:t>
      </w:r>
      <w:r w:rsidR="008C2001">
        <w:t>54</w:t>
      </w:r>
      <w:r>
        <w:t xml:space="preserve"> pour la mise en place d’un service comprenant la création, l’entretien, et l’exploitation des infrastructures de charge nécessaires à l’usage des véhicules électriques ou hybrides rechargeables, dont l’exploitation comprend l’achat d’électricité nécessaire à l’alimentation des infrastructures de charge</w:t>
      </w:r>
      <w:r w:rsidR="000C054C">
        <w:t> ;</w:t>
      </w:r>
    </w:p>
    <w:p w14:paraId="122B5DAE" w14:textId="3697E710" w:rsidR="000C054C" w:rsidRDefault="000C054C" w:rsidP="000C054C">
      <w:pPr>
        <w:numPr>
          <w:ilvl w:val="0"/>
          <w:numId w:val="1"/>
        </w:numPr>
        <w:ind w:hanging="360"/>
      </w:pPr>
      <w:r>
        <w:t>Rappelle que le transfert de la compétence « IRVE </w:t>
      </w:r>
      <w:r w:rsidR="00CB493E">
        <w:t>» implique</w:t>
      </w:r>
      <w:r>
        <w:t xml:space="preserve"> que les tarifs de recharge appliqués </w:t>
      </w:r>
      <w:r w:rsidR="00CB493E">
        <w:t>aux usagers</w:t>
      </w:r>
      <w:r>
        <w:t xml:space="preserve"> seront désormais ceux délibérés par le comité du SDE54 ;</w:t>
      </w:r>
    </w:p>
    <w:p w14:paraId="378C8EBD" w14:textId="03609645" w:rsidR="000C054C" w:rsidRDefault="000C054C" w:rsidP="000C054C">
      <w:pPr>
        <w:numPr>
          <w:ilvl w:val="0"/>
          <w:numId w:val="1"/>
        </w:numPr>
        <w:ind w:hanging="360"/>
      </w:pPr>
      <w:r>
        <w:t>Demande à ce que la grille tarifaire précité</w:t>
      </w:r>
      <w:r w:rsidR="00CB493E">
        <w:t>e</w:t>
      </w:r>
      <w:r>
        <w:t xml:space="preserve"> soit transmise </w:t>
      </w:r>
      <w:r w:rsidRPr="008C2001">
        <w:rPr>
          <w:highlight w:val="yellow"/>
        </w:rPr>
        <w:t>#####LA COLLECTIVTE####</w:t>
      </w:r>
      <w:r>
        <w:t xml:space="preserve"> </w:t>
      </w:r>
      <w:r w:rsidR="00CB493E">
        <w:t xml:space="preserve">dès la survenance </w:t>
      </w:r>
      <w:r>
        <w:t>d</w:t>
      </w:r>
      <w:r w:rsidR="00CB493E">
        <w:t>’</w:t>
      </w:r>
      <w:r>
        <w:t>évolutions</w:t>
      </w:r>
      <w:r w:rsidR="00CB493E">
        <w:t xml:space="preserve"> tarifaires</w:t>
      </w:r>
      <w:r>
        <w:t xml:space="preserve"> ; </w:t>
      </w:r>
    </w:p>
    <w:p w14:paraId="65881760" w14:textId="7003BF3F" w:rsidR="00E724E0" w:rsidRDefault="00657515" w:rsidP="000C054C">
      <w:pPr>
        <w:numPr>
          <w:ilvl w:val="0"/>
          <w:numId w:val="1"/>
        </w:numPr>
        <w:spacing w:after="0"/>
        <w:ind w:hanging="360"/>
        <w:jc w:val="center"/>
      </w:pPr>
      <w:r>
        <w:lastRenderedPageBreak/>
        <w:t xml:space="preserve">Accepte sans réserve les conditions </w:t>
      </w:r>
      <w:r w:rsidR="00940EAE">
        <w:t>techniques</w:t>
      </w:r>
      <w:r>
        <w:t xml:space="preserve">, administratives et financières d’exercice de la compétence </w:t>
      </w:r>
      <w:r>
        <w:rPr>
          <w:i/>
        </w:rPr>
        <w:t>« infrastructures de charge pour véhicules électriques »</w:t>
      </w:r>
      <w:r>
        <w:t xml:space="preserve"> proposées par le SDE</w:t>
      </w:r>
      <w:r w:rsidR="008C2001">
        <w:t>54</w:t>
      </w:r>
      <w:r w:rsidR="00CB493E">
        <w:t> ;</w:t>
      </w:r>
    </w:p>
    <w:p w14:paraId="470CF15D" w14:textId="27B8D9CD" w:rsidR="008C2001" w:rsidRDefault="008C2001" w:rsidP="008C2001">
      <w:pPr>
        <w:spacing w:after="0"/>
        <w:ind w:left="720" w:firstLine="0"/>
      </w:pPr>
    </w:p>
    <w:p w14:paraId="6279EF57" w14:textId="29A6A702" w:rsidR="008C2001" w:rsidRDefault="008C2001">
      <w:pPr>
        <w:numPr>
          <w:ilvl w:val="0"/>
          <w:numId w:val="1"/>
        </w:numPr>
        <w:spacing w:after="0"/>
        <w:ind w:hanging="360"/>
      </w:pPr>
      <w:r>
        <w:t xml:space="preserve">Autorise </w:t>
      </w:r>
      <w:r w:rsidRPr="008C2001">
        <w:rPr>
          <w:highlight w:val="yellow"/>
        </w:rPr>
        <w:t>####l’élu désigné####</w:t>
      </w:r>
      <w:r>
        <w:t xml:space="preserve"> à signer tous les actes nécessaires au transfert de compétence et </w:t>
      </w:r>
      <w:r w:rsidR="00940EAE">
        <w:t xml:space="preserve">au transfert des actifs concernés pour </w:t>
      </w:r>
      <w:r>
        <w:t>la mise en œuvre du projet ;</w:t>
      </w:r>
    </w:p>
    <w:p w14:paraId="7961BA56" w14:textId="77777777" w:rsidR="000C054C" w:rsidRDefault="000C054C" w:rsidP="000C054C">
      <w:pPr>
        <w:spacing w:after="0"/>
        <w:ind w:left="0" w:firstLine="0"/>
      </w:pPr>
    </w:p>
    <w:p w14:paraId="4A5B6A2D" w14:textId="4741860B" w:rsidR="00657515" w:rsidRDefault="00940EAE" w:rsidP="00657515">
      <w:pPr>
        <w:numPr>
          <w:ilvl w:val="0"/>
          <w:numId w:val="1"/>
        </w:numPr>
        <w:spacing w:after="0"/>
        <w:ind w:hanging="360"/>
      </w:pPr>
      <w:r>
        <w:t>Précise que les actifs</w:t>
      </w:r>
      <w:r w:rsidR="000C054C">
        <w:t xml:space="preserve"> </w:t>
      </w:r>
      <w:r w:rsidR="000C054C">
        <w:t xml:space="preserve">de </w:t>
      </w:r>
      <w:r w:rsidR="000C054C" w:rsidRPr="008C2001">
        <w:rPr>
          <w:highlight w:val="yellow"/>
        </w:rPr>
        <w:t>#####LA COLLECTIVTE####</w:t>
      </w:r>
      <w:r w:rsidR="000C054C">
        <w:t>,</w:t>
      </w:r>
      <w:r w:rsidR="000C054C">
        <w:t xml:space="preserve"> relevant de la compétence transféré</w:t>
      </w:r>
      <w:r w:rsidR="000C054C">
        <w:t>e,</w:t>
      </w:r>
      <w:r>
        <w:t xml:space="preserve"> </w:t>
      </w:r>
      <w:r w:rsidR="000C054C">
        <w:t xml:space="preserve">immobilisés au moment du transfert </w:t>
      </w:r>
      <w:r>
        <w:t xml:space="preserve">seront transférés </w:t>
      </w:r>
      <w:r w:rsidR="000C054C">
        <w:t xml:space="preserve">aux </w:t>
      </w:r>
      <w:r>
        <w:t xml:space="preserve">actifs du SDE54 après un audit technique, financier et comptable </w:t>
      </w:r>
      <w:r w:rsidR="000C054C">
        <w:t xml:space="preserve">contradictoire </w:t>
      </w:r>
      <w:r>
        <w:t xml:space="preserve">conformément à l’article </w:t>
      </w:r>
      <w:r w:rsidRPr="00940EAE">
        <w:rPr>
          <w:highlight w:val="yellow"/>
        </w:rPr>
        <w:t>XXXXXX</w:t>
      </w:r>
      <w:r>
        <w:t xml:space="preserve"> des conditions techniques, administratives et financières précitées ;</w:t>
      </w:r>
    </w:p>
    <w:p w14:paraId="37C01BDA" w14:textId="77777777" w:rsidR="000C054C" w:rsidRDefault="000C054C" w:rsidP="000C054C">
      <w:pPr>
        <w:spacing w:after="0"/>
        <w:ind w:left="720" w:firstLine="0"/>
      </w:pPr>
    </w:p>
    <w:p w14:paraId="456BD6C8" w14:textId="5BD17820" w:rsidR="00657515" w:rsidRDefault="00940EAE" w:rsidP="000C054C">
      <w:pPr>
        <w:numPr>
          <w:ilvl w:val="0"/>
          <w:numId w:val="1"/>
        </w:numPr>
        <w:spacing w:after="0"/>
        <w:ind w:hanging="360"/>
      </w:pPr>
      <w:r>
        <w:t xml:space="preserve">S’engage à inscrire les dépenses correspondantes au budget et donne mandat à </w:t>
      </w:r>
      <w:r w:rsidRPr="00657515">
        <w:rPr>
          <w:highlight w:val="yellow"/>
        </w:rPr>
        <w:t>####l’élu désigné####</w:t>
      </w:r>
      <w:r>
        <w:t xml:space="preserve"> pour régler les sommes dues au SDE54 ou recouvrer les recettes qui reviendraient à  </w:t>
      </w:r>
      <w:r w:rsidRPr="00657515">
        <w:rPr>
          <w:highlight w:val="yellow"/>
        </w:rPr>
        <w:t>#####LA COLLECTIVTE####</w:t>
      </w:r>
      <w:r>
        <w:t> ;</w:t>
      </w:r>
    </w:p>
    <w:p w14:paraId="58DA78F0" w14:textId="77777777" w:rsidR="000C054C" w:rsidRDefault="000C054C" w:rsidP="000C054C">
      <w:pPr>
        <w:pStyle w:val="Paragraphedeliste"/>
        <w:spacing w:after="0" w:line="247" w:lineRule="auto"/>
        <w:ind w:hanging="11"/>
      </w:pPr>
    </w:p>
    <w:p w14:paraId="4CDF7129" w14:textId="7B707073" w:rsidR="008F32BA" w:rsidRDefault="008C2001" w:rsidP="000C054C">
      <w:pPr>
        <w:numPr>
          <w:ilvl w:val="0"/>
          <w:numId w:val="1"/>
        </w:numPr>
        <w:spacing w:after="0"/>
        <w:ind w:hanging="360"/>
      </w:pPr>
      <w:r>
        <w:t xml:space="preserve">S’engage à verser au SDE54 la participation financière due en application des conditions techniques, administratives et financières relevant </w:t>
      </w:r>
      <w:r w:rsidR="0082290F">
        <w:t>de l’exercice de la compétence</w:t>
      </w:r>
      <w:r w:rsidR="00CB493E">
        <w:t>.</w:t>
      </w:r>
    </w:p>
    <w:p w14:paraId="0E6FB0D2" w14:textId="77777777" w:rsidR="00940EAE" w:rsidRDefault="00940EAE" w:rsidP="00940EAE">
      <w:pPr>
        <w:spacing w:after="0" w:line="259" w:lineRule="auto"/>
        <w:ind w:left="108" w:firstLine="0"/>
        <w:jc w:val="left"/>
      </w:pPr>
    </w:p>
    <w:p w14:paraId="3A420302" w14:textId="52C06C7C" w:rsidR="00940EAE" w:rsidRDefault="00940EAE" w:rsidP="00940EAE">
      <w:pPr>
        <w:pStyle w:val="Paragraphedeliste"/>
      </w:pPr>
    </w:p>
    <w:p w14:paraId="3B0EA365" w14:textId="558D62AD" w:rsidR="00940EAE" w:rsidRDefault="00940EAE" w:rsidP="00940EAE">
      <w:pPr>
        <w:pStyle w:val="Paragraphedeliste"/>
        <w:ind w:left="4258"/>
      </w:pPr>
      <w:r>
        <w:t>Fait et délibéré ……………………………</w:t>
      </w:r>
    </w:p>
    <w:p w14:paraId="2C830ACC" w14:textId="77777777" w:rsidR="00940EAE" w:rsidRDefault="00940EAE" w:rsidP="00940EAE">
      <w:pPr>
        <w:spacing w:after="0" w:line="259" w:lineRule="auto"/>
        <w:ind w:left="108" w:firstLine="0"/>
        <w:jc w:val="left"/>
      </w:pPr>
    </w:p>
    <w:p w14:paraId="00AEEBA3" w14:textId="77777777" w:rsidR="00940EAE" w:rsidRDefault="00940EAE" w:rsidP="00940EAE">
      <w:pPr>
        <w:spacing w:after="0" w:line="259" w:lineRule="auto"/>
        <w:jc w:val="left"/>
      </w:pPr>
    </w:p>
    <w:p w14:paraId="007C198B" w14:textId="2C0F63AF" w:rsidR="00C04941" w:rsidRDefault="00657515">
      <w:pPr>
        <w:spacing w:after="0" w:line="259" w:lineRule="auto"/>
        <w:ind w:left="0" w:firstLine="0"/>
        <w:jc w:val="left"/>
      </w:pPr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sectPr w:rsidR="00C04941">
      <w:type w:val="continuous"/>
      <w:pgSz w:w="11900" w:h="16840"/>
      <w:pgMar w:top="720" w:right="1241" w:bottom="73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1F7C"/>
    <w:multiLevelType w:val="hybridMultilevel"/>
    <w:tmpl w:val="3B5ECEF8"/>
    <w:lvl w:ilvl="0" w:tplc="BBEC04AA">
      <w:start w:val="1"/>
      <w:numFmt w:val="bullet"/>
      <w:lvlText w:val="-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8FD7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471E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AF94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E203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68E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6614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A87D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021C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992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41"/>
    <w:rsid w:val="000C054C"/>
    <w:rsid w:val="00657515"/>
    <w:rsid w:val="0082290F"/>
    <w:rsid w:val="008C2001"/>
    <w:rsid w:val="008F32BA"/>
    <w:rsid w:val="00940EAE"/>
    <w:rsid w:val="00C04941"/>
    <w:rsid w:val="00CB493E"/>
    <w:rsid w:val="00DD7E65"/>
    <w:rsid w:val="00E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51F94"/>
  <w15:docId w15:val="{0CE04E5F-9EA2-4719-9A08-CCD82F5C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"/>
      <w:jc w:val="right"/>
      <w:outlineLvl w:val="0"/>
    </w:pPr>
    <w:rPr>
      <w:rFonts w:ascii="Calibri" w:eastAsia="Calibri" w:hAnsi="Calibri" w:cs="Calibri"/>
      <w:color w:val="000000"/>
      <w:sz w:val="24"/>
      <w:u w:val="doub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  <w:u w:val="doub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C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Modele_Deliberation_IRVE MANCHE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Modele_Deliberation_IRVE MANCHE</dc:title>
  <dc:subject/>
  <dc:creator>scunat</dc:creator>
  <cp:keywords/>
  <cp:lastModifiedBy>Stephane CUNAT</cp:lastModifiedBy>
  <cp:revision>5</cp:revision>
  <dcterms:created xsi:type="dcterms:W3CDTF">2023-02-24T11:44:00Z</dcterms:created>
  <dcterms:modified xsi:type="dcterms:W3CDTF">2023-02-24T14:39:00Z</dcterms:modified>
</cp:coreProperties>
</file>