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B847" w14:textId="77777777" w:rsidR="00E207E3" w:rsidRDefault="00E207E3" w:rsidP="00826452">
      <w:pPr>
        <w:spacing w:after="0" w:line="240" w:lineRule="auto"/>
        <w:jc w:val="center"/>
        <w:rPr>
          <w:b/>
          <w:i/>
        </w:rPr>
      </w:pPr>
    </w:p>
    <w:p w14:paraId="5CDC2574" w14:textId="48E67203" w:rsidR="0099163B" w:rsidRPr="007D396F" w:rsidRDefault="0099163B" w:rsidP="00826452">
      <w:pPr>
        <w:spacing w:after="0" w:line="240" w:lineRule="auto"/>
        <w:jc w:val="center"/>
        <w:rPr>
          <w:b/>
          <w:i/>
        </w:rPr>
      </w:pPr>
      <w:r w:rsidRPr="007D396F">
        <w:rPr>
          <w:b/>
          <w:i/>
        </w:rPr>
        <w:t xml:space="preserve">Délibération du conseil municipal de la commune de </w:t>
      </w:r>
      <w:r w:rsidRPr="00472C3B">
        <w:rPr>
          <w:b/>
          <w:i/>
          <w:highlight w:val="yellow"/>
        </w:rPr>
        <w:t>…………..</w:t>
      </w:r>
    </w:p>
    <w:p w14:paraId="0495C4F6" w14:textId="77777777" w:rsidR="00826452" w:rsidRPr="005417C1" w:rsidRDefault="00826452" w:rsidP="00826452">
      <w:pPr>
        <w:spacing w:after="0" w:line="240" w:lineRule="auto"/>
        <w:jc w:val="center"/>
      </w:pPr>
    </w:p>
    <w:p w14:paraId="00B1C17A" w14:textId="30FC15AE" w:rsidR="0099163B" w:rsidRPr="007D396F" w:rsidRDefault="0099163B" w:rsidP="00826452">
      <w:pPr>
        <w:spacing w:after="0" w:line="240" w:lineRule="auto"/>
        <w:jc w:val="center"/>
        <w:rPr>
          <w:b/>
        </w:rPr>
      </w:pPr>
      <w:r w:rsidRPr="007D396F">
        <w:rPr>
          <w:b/>
        </w:rPr>
        <w:t xml:space="preserve">Point n° </w:t>
      </w:r>
      <w:r w:rsidRPr="00472C3B">
        <w:rPr>
          <w:b/>
          <w:highlight w:val="yellow"/>
        </w:rPr>
        <w:t>….</w:t>
      </w:r>
      <w:r w:rsidRPr="007D396F">
        <w:rPr>
          <w:b/>
        </w:rPr>
        <w:t xml:space="preserve"> : Substitution de la commune de </w:t>
      </w:r>
      <w:r w:rsidRPr="00472C3B">
        <w:rPr>
          <w:b/>
          <w:highlight w:val="yellow"/>
        </w:rPr>
        <w:t>………………</w:t>
      </w:r>
      <w:r w:rsidRPr="007D396F">
        <w:rPr>
          <w:b/>
        </w:rPr>
        <w:t xml:space="preserve"> </w:t>
      </w:r>
      <w:r w:rsidR="007D396F" w:rsidRPr="007D396F">
        <w:rPr>
          <w:b/>
        </w:rPr>
        <w:t>par le</w:t>
      </w:r>
      <w:r w:rsidRPr="007D396F">
        <w:rPr>
          <w:b/>
        </w:rPr>
        <w:t xml:space="preserve"> Syndicat</w:t>
      </w:r>
      <w:r w:rsidR="00E61132">
        <w:rPr>
          <w:b/>
        </w:rPr>
        <w:t xml:space="preserve"> Départemental </w:t>
      </w:r>
      <w:r w:rsidRPr="007D396F">
        <w:rPr>
          <w:b/>
        </w:rPr>
        <w:t xml:space="preserve"> d’</w:t>
      </w:r>
      <w:r w:rsidR="00826452" w:rsidRPr="007D396F">
        <w:rPr>
          <w:b/>
        </w:rPr>
        <w:t>E</w:t>
      </w:r>
      <w:r w:rsidRPr="007D396F">
        <w:rPr>
          <w:b/>
        </w:rPr>
        <w:t>lectricité</w:t>
      </w:r>
      <w:r w:rsidR="00E61132">
        <w:rPr>
          <w:b/>
        </w:rPr>
        <w:t xml:space="preserve"> de Meurthe-et-Moselle </w:t>
      </w:r>
      <w:r w:rsidRPr="007D396F">
        <w:rPr>
          <w:b/>
        </w:rPr>
        <w:t xml:space="preserve">pour la perception </w:t>
      </w:r>
      <w:r w:rsidR="00826452" w:rsidRPr="007D396F">
        <w:rPr>
          <w:b/>
        </w:rPr>
        <w:t xml:space="preserve">du produit </w:t>
      </w:r>
      <w:r w:rsidRPr="007D396F">
        <w:rPr>
          <w:b/>
        </w:rPr>
        <w:t>de la Taxe communale sur la Consommation Finale d’Electricité</w:t>
      </w:r>
    </w:p>
    <w:p w14:paraId="3E5809F6" w14:textId="77777777" w:rsidR="0099163B" w:rsidRPr="005417C1" w:rsidRDefault="0099163B" w:rsidP="00826452">
      <w:pPr>
        <w:spacing w:after="0" w:line="240" w:lineRule="auto"/>
      </w:pPr>
    </w:p>
    <w:p w14:paraId="5282F563" w14:textId="77777777" w:rsidR="0099163B" w:rsidRPr="00472C3B" w:rsidRDefault="0099163B" w:rsidP="00826452">
      <w:pPr>
        <w:spacing w:after="12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b/>
          <w:sz w:val="20"/>
          <w:szCs w:val="20"/>
        </w:rPr>
        <w:t>Vu</w:t>
      </w:r>
      <w:r w:rsidRPr="00472C3B">
        <w:rPr>
          <w:rFonts w:cstheme="minorHAnsi"/>
          <w:sz w:val="20"/>
          <w:szCs w:val="20"/>
        </w:rPr>
        <w:tab/>
        <w:t>l’article 23 de la loi n°2010-1488 du 7 décembre 2010 portant Nouvelle Organisation du Marché de l’Electricité ;</w:t>
      </w:r>
    </w:p>
    <w:p w14:paraId="050CC62A" w14:textId="77777777" w:rsidR="0099163B" w:rsidRPr="00472C3B" w:rsidRDefault="0099163B" w:rsidP="00826452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b/>
          <w:sz w:val="20"/>
          <w:szCs w:val="20"/>
        </w:rPr>
        <w:t>Vu</w:t>
      </w:r>
      <w:r w:rsidRPr="00472C3B">
        <w:rPr>
          <w:rFonts w:cstheme="minorHAnsi"/>
          <w:sz w:val="20"/>
          <w:szCs w:val="20"/>
        </w:rPr>
        <w:t xml:space="preserve"> </w:t>
      </w:r>
      <w:r w:rsidRPr="00472C3B">
        <w:rPr>
          <w:rFonts w:cstheme="minorHAnsi"/>
          <w:sz w:val="20"/>
          <w:szCs w:val="20"/>
        </w:rPr>
        <w:tab/>
        <w:t>les articles L. 2333-2 à L. 2333-5 du Code Général des Collectivités Territoriales ;</w:t>
      </w:r>
    </w:p>
    <w:p w14:paraId="561ADBA6" w14:textId="77777777" w:rsidR="0099163B" w:rsidRPr="00472C3B" w:rsidRDefault="0099163B" w:rsidP="00826452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b/>
          <w:sz w:val="20"/>
          <w:szCs w:val="20"/>
        </w:rPr>
        <w:t>Vu</w:t>
      </w:r>
      <w:r w:rsidRPr="00472C3B">
        <w:rPr>
          <w:rFonts w:cstheme="minorHAnsi"/>
          <w:sz w:val="20"/>
          <w:szCs w:val="20"/>
        </w:rPr>
        <w:tab/>
        <w:t>les articles L. 3333-2 à L. 3333-3-3 du Code Général des Collectivités Territoriales ;</w:t>
      </w:r>
    </w:p>
    <w:p w14:paraId="5F695774" w14:textId="77777777" w:rsidR="0099163B" w:rsidRPr="00472C3B" w:rsidRDefault="0099163B" w:rsidP="00826452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b/>
          <w:sz w:val="20"/>
          <w:szCs w:val="20"/>
        </w:rPr>
        <w:t>Vu</w:t>
      </w:r>
      <w:r w:rsidRPr="00472C3B">
        <w:rPr>
          <w:rFonts w:cstheme="minorHAnsi"/>
          <w:sz w:val="20"/>
          <w:szCs w:val="20"/>
        </w:rPr>
        <w:tab/>
        <w:t>l’article L. 5212-24 du Code Général des Collectivités Territoriales ;</w:t>
      </w:r>
    </w:p>
    <w:p w14:paraId="674CE969" w14:textId="3E816625" w:rsidR="0099163B" w:rsidRPr="00472C3B" w:rsidRDefault="0099163B" w:rsidP="00826452">
      <w:pPr>
        <w:spacing w:after="12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b/>
          <w:sz w:val="20"/>
          <w:szCs w:val="20"/>
        </w:rPr>
        <w:t>Vu</w:t>
      </w:r>
      <w:r w:rsidRPr="00472C3B">
        <w:rPr>
          <w:rFonts w:cstheme="minorHAnsi"/>
          <w:sz w:val="20"/>
          <w:szCs w:val="20"/>
        </w:rPr>
        <w:t xml:space="preserve"> </w:t>
      </w:r>
      <w:r w:rsidRPr="00472C3B">
        <w:rPr>
          <w:rFonts w:cstheme="minorHAnsi"/>
          <w:sz w:val="20"/>
          <w:szCs w:val="20"/>
        </w:rPr>
        <w:tab/>
        <w:t xml:space="preserve">la délibération du Comité Syndical du Syndicat </w:t>
      </w:r>
      <w:r w:rsidR="00E61132" w:rsidRPr="00472C3B">
        <w:rPr>
          <w:rFonts w:cstheme="minorHAnsi"/>
          <w:sz w:val="20"/>
          <w:szCs w:val="20"/>
        </w:rPr>
        <w:t xml:space="preserve">Départemental </w:t>
      </w:r>
      <w:r w:rsidRPr="00472C3B">
        <w:rPr>
          <w:rFonts w:cstheme="minorHAnsi"/>
          <w:sz w:val="20"/>
          <w:szCs w:val="20"/>
        </w:rPr>
        <w:t xml:space="preserve">d’Electricité </w:t>
      </w:r>
      <w:r w:rsidR="00E61132" w:rsidRPr="00472C3B">
        <w:rPr>
          <w:rFonts w:cstheme="minorHAnsi"/>
          <w:sz w:val="20"/>
          <w:szCs w:val="20"/>
        </w:rPr>
        <w:t xml:space="preserve">de Meurthe-et-Moselle </w:t>
      </w:r>
      <w:r w:rsidR="007D396F" w:rsidRPr="00472C3B">
        <w:rPr>
          <w:rFonts w:cstheme="minorHAnsi"/>
          <w:sz w:val="20"/>
          <w:szCs w:val="20"/>
        </w:rPr>
        <w:t>d</w:t>
      </w:r>
      <w:r w:rsidRPr="00472C3B">
        <w:rPr>
          <w:rFonts w:cstheme="minorHAnsi"/>
          <w:sz w:val="20"/>
          <w:szCs w:val="20"/>
        </w:rPr>
        <w:t xml:space="preserve">u </w:t>
      </w:r>
      <w:r w:rsidR="00E61132" w:rsidRPr="00472C3B">
        <w:rPr>
          <w:rFonts w:cstheme="minorHAnsi"/>
          <w:sz w:val="20"/>
          <w:szCs w:val="20"/>
        </w:rPr>
        <w:t>17 mai 2021</w:t>
      </w:r>
      <w:r w:rsidRPr="00472C3B">
        <w:rPr>
          <w:rFonts w:cstheme="minorHAnsi"/>
          <w:sz w:val="20"/>
          <w:szCs w:val="20"/>
        </w:rPr>
        <w:t xml:space="preserve"> proposant </w:t>
      </w:r>
      <w:r w:rsidR="00E61132" w:rsidRPr="00472C3B">
        <w:rPr>
          <w:rFonts w:cstheme="minorHAnsi"/>
          <w:sz w:val="20"/>
          <w:szCs w:val="20"/>
        </w:rPr>
        <w:t xml:space="preserve">à ses communes de </w:t>
      </w:r>
      <w:r w:rsidRPr="00472C3B">
        <w:rPr>
          <w:rFonts w:cstheme="minorHAnsi"/>
          <w:sz w:val="20"/>
          <w:szCs w:val="20"/>
        </w:rPr>
        <w:t xml:space="preserve">se substituer </w:t>
      </w:r>
      <w:r w:rsidR="007D396F" w:rsidRPr="00472C3B">
        <w:rPr>
          <w:rFonts w:cstheme="minorHAnsi"/>
          <w:sz w:val="20"/>
          <w:szCs w:val="20"/>
        </w:rPr>
        <w:t xml:space="preserve">à elles </w:t>
      </w:r>
      <w:r w:rsidRPr="00472C3B">
        <w:rPr>
          <w:rFonts w:cstheme="minorHAnsi"/>
          <w:sz w:val="20"/>
          <w:szCs w:val="20"/>
        </w:rPr>
        <w:t>pour la perception de la Taxe communale sur la Consommation Finale d’Electricité</w:t>
      </w:r>
      <w:r w:rsidR="00037D65" w:rsidRPr="00472C3B">
        <w:rPr>
          <w:rFonts w:cstheme="minorHAnsi"/>
          <w:sz w:val="20"/>
          <w:szCs w:val="20"/>
        </w:rPr>
        <w:t xml:space="preserve"> (T</w:t>
      </w:r>
      <w:r w:rsidR="00E61132" w:rsidRPr="00472C3B">
        <w:rPr>
          <w:rFonts w:cstheme="minorHAnsi"/>
          <w:sz w:val="20"/>
          <w:szCs w:val="20"/>
        </w:rPr>
        <w:t>C</w:t>
      </w:r>
      <w:r w:rsidR="00037D65" w:rsidRPr="00472C3B">
        <w:rPr>
          <w:rFonts w:cstheme="minorHAnsi"/>
          <w:sz w:val="20"/>
          <w:szCs w:val="20"/>
        </w:rPr>
        <w:t>CFE)</w:t>
      </w:r>
      <w:r w:rsidRPr="00472C3B">
        <w:rPr>
          <w:rFonts w:cstheme="minorHAnsi"/>
          <w:sz w:val="20"/>
          <w:szCs w:val="20"/>
        </w:rPr>
        <w:t> ;</w:t>
      </w:r>
    </w:p>
    <w:p w14:paraId="0CA34D0B" w14:textId="77777777" w:rsidR="0099163B" w:rsidRPr="00472C3B" w:rsidRDefault="0099163B" w:rsidP="00826452">
      <w:pPr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6FCF680C" w14:textId="30A56C02" w:rsidR="0099163B" w:rsidRPr="00472C3B" w:rsidRDefault="0099163B" w:rsidP="00826452">
      <w:pPr>
        <w:spacing w:after="0" w:line="240" w:lineRule="auto"/>
        <w:ind w:firstLine="4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 xml:space="preserve">Le Maire expose, que sur délibérations concordantes de son Conseil </w:t>
      </w:r>
      <w:r w:rsidR="00472C3B">
        <w:rPr>
          <w:rFonts w:cstheme="minorHAnsi"/>
          <w:sz w:val="20"/>
          <w:szCs w:val="20"/>
        </w:rPr>
        <w:t>M</w:t>
      </w:r>
      <w:r w:rsidRPr="00472C3B">
        <w:rPr>
          <w:rFonts w:cstheme="minorHAnsi"/>
          <w:sz w:val="20"/>
          <w:szCs w:val="20"/>
        </w:rPr>
        <w:t>unicipal et du Comité Syndical du S</w:t>
      </w:r>
      <w:r w:rsidR="00E61132" w:rsidRPr="00472C3B">
        <w:rPr>
          <w:rFonts w:cstheme="minorHAnsi"/>
          <w:sz w:val="20"/>
          <w:szCs w:val="20"/>
        </w:rPr>
        <w:t>DE54</w:t>
      </w:r>
      <w:r w:rsidRPr="00472C3B">
        <w:rPr>
          <w:rFonts w:cstheme="minorHAnsi"/>
          <w:sz w:val="20"/>
          <w:szCs w:val="20"/>
        </w:rPr>
        <w:t>, l’article L. 5212-24 du Code Général des Collectivités Territoriales (CGCT) permet au S</w:t>
      </w:r>
      <w:r w:rsidR="007D396F" w:rsidRPr="00472C3B">
        <w:rPr>
          <w:rFonts w:cstheme="minorHAnsi"/>
          <w:sz w:val="20"/>
          <w:szCs w:val="20"/>
        </w:rPr>
        <w:t>yndicat</w:t>
      </w:r>
      <w:r w:rsidRPr="00472C3B">
        <w:rPr>
          <w:rFonts w:cstheme="minorHAnsi"/>
          <w:sz w:val="20"/>
          <w:szCs w:val="20"/>
        </w:rPr>
        <w:t xml:space="preserve"> de </w:t>
      </w:r>
      <w:r w:rsidR="00722CC4" w:rsidRPr="00472C3B">
        <w:rPr>
          <w:rFonts w:cstheme="minorHAnsi"/>
          <w:sz w:val="20"/>
          <w:szCs w:val="20"/>
        </w:rPr>
        <w:t xml:space="preserve">se </w:t>
      </w:r>
      <w:r w:rsidRPr="00472C3B">
        <w:rPr>
          <w:rFonts w:cstheme="minorHAnsi"/>
          <w:sz w:val="20"/>
          <w:szCs w:val="20"/>
        </w:rPr>
        <w:t>substituer aux communes de plus de 2 000 habitants (population totale appréciée au 1</w:t>
      </w:r>
      <w:r w:rsidRPr="00472C3B">
        <w:rPr>
          <w:rFonts w:cstheme="minorHAnsi"/>
          <w:sz w:val="20"/>
          <w:szCs w:val="20"/>
          <w:vertAlign w:val="superscript"/>
        </w:rPr>
        <w:t>er</w:t>
      </w:r>
      <w:r w:rsidRPr="00472C3B">
        <w:rPr>
          <w:rFonts w:cstheme="minorHAnsi"/>
          <w:sz w:val="20"/>
          <w:szCs w:val="20"/>
        </w:rPr>
        <w:t xml:space="preserve"> janvier 2020)</w:t>
      </w:r>
      <w:r w:rsidR="00037D65" w:rsidRPr="00472C3B">
        <w:rPr>
          <w:rFonts w:cstheme="minorHAnsi"/>
          <w:sz w:val="20"/>
          <w:szCs w:val="20"/>
        </w:rPr>
        <w:t xml:space="preserve"> pour la perception de la TC</w:t>
      </w:r>
      <w:r w:rsidR="00E61132" w:rsidRPr="00472C3B">
        <w:rPr>
          <w:rFonts w:cstheme="minorHAnsi"/>
          <w:sz w:val="20"/>
          <w:szCs w:val="20"/>
        </w:rPr>
        <w:t>C</w:t>
      </w:r>
      <w:r w:rsidR="00037D65" w:rsidRPr="00472C3B">
        <w:rPr>
          <w:rFonts w:cstheme="minorHAnsi"/>
          <w:sz w:val="20"/>
          <w:szCs w:val="20"/>
        </w:rPr>
        <w:t>FE.</w:t>
      </w:r>
    </w:p>
    <w:p w14:paraId="02D79863" w14:textId="77777777" w:rsidR="00826452" w:rsidRPr="00472C3B" w:rsidRDefault="00826452" w:rsidP="00826452">
      <w:pPr>
        <w:spacing w:after="0" w:line="240" w:lineRule="auto"/>
        <w:ind w:firstLine="4"/>
        <w:jc w:val="both"/>
        <w:rPr>
          <w:rFonts w:cstheme="minorHAnsi"/>
          <w:sz w:val="20"/>
          <w:szCs w:val="20"/>
        </w:rPr>
      </w:pPr>
    </w:p>
    <w:p w14:paraId="23FDC38A" w14:textId="77777777" w:rsidR="00037D65" w:rsidRPr="00472C3B" w:rsidRDefault="00037D65" w:rsidP="005417C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Les avantages pour la commune de déléguer cette tâche au S</w:t>
      </w:r>
      <w:r w:rsidR="007D396F" w:rsidRPr="00472C3B">
        <w:rPr>
          <w:rFonts w:cstheme="minorHAnsi"/>
          <w:sz w:val="20"/>
          <w:szCs w:val="20"/>
        </w:rPr>
        <w:t>yndicat</w:t>
      </w:r>
      <w:r w:rsidRPr="00472C3B">
        <w:rPr>
          <w:rFonts w:cstheme="minorHAnsi"/>
          <w:sz w:val="20"/>
          <w:szCs w:val="20"/>
        </w:rPr>
        <w:t xml:space="preserve"> sont :</w:t>
      </w:r>
    </w:p>
    <w:p w14:paraId="51D7C5A2" w14:textId="2E5061FF" w:rsidR="00E61132" w:rsidRPr="00472C3B" w:rsidRDefault="00E61132" w:rsidP="007D396F">
      <w:pPr>
        <w:numPr>
          <w:ilvl w:val="0"/>
          <w:numId w:val="1"/>
        </w:numPr>
        <w:spacing w:after="0" w:line="240" w:lineRule="auto"/>
        <w:ind w:left="720" w:hanging="357"/>
        <w:jc w:val="both"/>
        <w:rPr>
          <w:rFonts w:cstheme="minorHAnsi"/>
          <w:iCs/>
          <w:color w:val="C00000"/>
          <w:sz w:val="20"/>
          <w:szCs w:val="20"/>
        </w:rPr>
      </w:pPr>
      <w:r w:rsidRPr="00472C3B">
        <w:rPr>
          <w:rFonts w:cstheme="minorHAnsi"/>
          <w:iCs/>
          <w:sz w:val="20"/>
          <w:szCs w:val="20"/>
        </w:rPr>
        <w:t>La simplification du recouvrement de la TCCFE, au lieu de traiter et de contrôler chaque trimestre le versement de la taxe par chaque fournisseur (</w:t>
      </w:r>
      <w:r w:rsidR="00DA7D81">
        <w:rPr>
          <w:rFonts w:cstheme="minorHAnsi"/>
          <w:iCs/>
          <w:sz w:val="20"/>
          <w:szCs w:val="20"/>
        </w:rPr>
        <w:t>55</w:t>
      </w:r>
      <w:r w:rsidRPr="00472C3B">
        <w:rPr>
          <w:rFonts w:cstheme="minorHAnsi"/>
          <w:iCs/>
          <w:sz w:val="20"/>
          <w:szCs w:val="20"/>
        </w:rPr>
        <w:t xml:space="preserve"> identifiés sur le territoire du SDE54 en 20</w:t>
      </w:r>
      <w:r w:rsidRPr="00BA62A2">
        <w:rPr>
          <w:rFonts w:cstheme="minorHAnsi"/>
          <w:iCs/>
          <w:color w:val="000000" w:themeColor="text1"/>
          <w:sz w:val="20"/>
          <w:szCs w:val="20"/>
        </w:rPr>
        <w:t>20), le SDE54 collecterait</w:t>
      </w:r>
      <w:r w:rsidR="00DA7D81" w:rsidRPr="00BA62A2">
        <w:rPr>
          <w:rFonts w:cstheme="minorHAnsi"/>
          <w:iCs/>
          <w:color w:val="000000" w:themeColor="text1"/>
          <w:sz w:val="20"/>
          <w:szCs w:val="20"/>
        </w:rPr>
        <w:t xml:space="preserve">, contrôlerait et reverserait 97% </w:t>
      </w:r>
      <w:r w:rsidR="00472C3B" w:rsidRPr="00BA62A2">
        <w:rPr>
          <w:rFonts w:cstheme="minorHAnsi"/>
          <w:iCs/>
          <w:color w:val="000000" w:themeColor="text1"/>
          <w:sz w:val="20"/>
          <w:szCs w:val="20"/>
        </w:rPr>
        <w:t>du produit de la taxe</w:t>
      </w:r>
      <w:r w:rsidRPr="00BA62A2">
        <w:rPr>
          <w:rFonts w:cstheme="minorHAnsi"/>
          <w:iCs/>
          <w:color w:val="000000" w:themeColor="text1"/>
          <w:sz w:val="20"/>
          <w:szCs w:val="20"/>
        </w:rPr>
        <w:t xml:space="preserve"> à la commune </w:t>
      </w:r>
      <w:r w:rsidR="00472C3B" w:rsidRPr="00BA62A2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deux fois dans l’année dans le courant des mois de Juin et de décembre au plus tard </w:t>
      </w:r>
      <w:r w:rsidRPr="00BA62A2">
        <w:rPr>
          <w:rFonts w:cstheme="minorHAnsi"/>
          <w:iCs/>
          <w:color w:val="000000" w:themeColor="text1"/>
          <w:sz w:val="20"/>
          <w:szCs w:val="20"/>
        </w:rPr>
        <w:t>;</w:t>
      </w:r>
    </w:p>
    <w:p w14:paraId="247DC681" w14:textId="77777777" w:rsidR="00E207E3" w:rsidRPr="00472C3B" w:rsidRDefault="00E207E3" w:rsidP="00E207E3">
      <w:pPr>
        <w:spacing w:after="0" w:line="240" w:lineRule="auto"/>
        <w:ind w:left="720"/>
        <w:jc w:val="both"/>
        <w:rPr>
          <w:rFonts w:cstheme="minorHAnsi"/>
          <w:iCs/>
          <w:sz w:val="20"/>
          <w:szCs w:val="20"/>
        </w:rPr>
      </w:pPr>
    </w:p>
    <w:p w14:paraId="77F6ED93" w14:textId="0834FCF0" w:rsidR="00E61132" w:rsidRPr="00472C3B" w:rsidRDefault="007D396F" w:rsidP="007D396F">
      <w:pPr>
        <w:numPr>
          <w:ilvl w:val="0"/>
          <w:numId w:val="1"/>
        </w:numPr>
        <w:spacing w:after="0" w:line="240" w:lineRule="auto"/>
        <w:ind w:left="720" w:hanging="357"/>
        <w:jc w:val="both"/>
        <w:rPr>
          <w:rFonts w:cstheme="minorHAnsi"/>
          <w:iCs/>
          <w:sz w:val="20"/>
          <w:szCs w:val="20"/>
        </w:rPr>
      </w:pPr>
      <w:r w:rsidRPr="00472C3B">
        <w:rPr>
          <w:rFonts w:cstheme="minorHAnsi"/>
          <w:iCs/>
          <w:sz w:val="20"/>
          <w:szCs w:val="20"/>
        </w:rPr>
        <w:t>La garantie de toucher les bons montants</w:t>
      </w:r>
      <w:r w:rsidR="00E61132" w:rsidRPr="00472C3B">
        <w:rPr>
          <w:rFonts w:cstheme="minorHAnsi"/>
          <w:iCs/>
          <w:sz w:val="20"/>
          <w:szCs w:val="20"/>
        </w:rPr>
        <w:t xml:space="preserve"> de la taxe </w:t>
      </w:r>
      <w:r w:rsidRPr="00472C3B">
        <w:rPr>
          <w:rFonts w:cstheme="minorHAnsi"/>
          <w:iCs/>
          <w:sz w:val="20"/>
          <w:szCs w:val="20"/>
        </w:rPr>
        <w:t xml:space="preserve">grâce aux </w:t>
      </w:r>
      <w:r w:rsidR="00E61132" w:rsidRPr="00472C3B">
        <w:rPr>
          <w:rFonts w:cstheme="minorHAnsi"/>
          <w:iCs/>
          <w:sz w:val="20"/>
          <w:szCs w:val="20"/>
        </w:rPr>
        <w:t>vérifications de concordance entre les déclarations faites par les fournisseurs et l’énergie réelle distribuée par Enedis sur la commune ;</w:t>
      </w:r>
    </w:p>
    <w:p w14:paraId="73D82DE5" w14:textId="77777777" w:rsidR="00E207E3" w:rsidRPr="00472C3B" w:rsidRDefault="00E207E3" w:rsidP="00E207E3">
      <w:pPr>
        <w:spacing w:after="0" w:line="240" w:lineRule="auto"/>
        <w:ind w:left="720"/>
        <w:jc w:val="both"/>
        <w:rPr>
          <w:rFonts w:cstheme="minorHAnsi"/>
          <w:iCs/>
          <w:sz w:val="20"/>
          <w:szCs w:val="20"/>
        </w:rPr>
      </w:pPr>
    </w:p>
    <w:p w14:paraId="03335101" w14:textId="2F52F907" w:rsidR="00E61132" w:rsidRPr="00472C3B" w:rsidRDefault="00E61132" w:rsidP="007D396F">
      <w:pPr>
        <w:numPr>
          <w:ilvl w:val="0"/>
          <w:numId w:val="1"/>
        </w:numPr>
        <w:spacing w:after="0" w:line="240" w:lineRule="auto"/>
        <w:ind w:left="720" w:hanging="357"/>
        <w:jc w:val="both"/>
        <w:rPr>
          <w:rFonts w:cstheme="minorHAnsi"/>
          <w:iCs/>
          <w:sz w:val="20"/>
          <w:szCs w:val="20"/>
        </w:rPr>
      </w:pPr>
      <w:r w:rsidRPr="00472C3B">
        <w:rPr>
          <w:rFonts w:cstheme="minorHAnsi"/>
          <w:iCs/>
          <w:sz w:val="20"/>
          <w:szCs w:val="20"/>
        </w:rPr>
        <w:t>Le transfert du contrôle de la taxe au SDE54 qui lui permettra</w:t>
      </w:r>
      <w:r w:rsidR="00E207E3" w:rsidRPr="00472C3B">
        <w:rPr>
          <w:rFonts w:cstheme="minorHAnsi"/>
          <w:iCs/>
          <w:sz w:val="20"/>
          <w:szCs w:val="20"/>
        </w:rPr>
        <w:t xml:space="preserve"> de</w:t>
      </w:r>
      <w:r w:rsidRPr="00472C3B">
        <w:rPr>
          <w:rFonts w:cstheme="minorHAnsi"/>
          <w:iCs/>
          <w:sz w:val="20"/>
          <w:szCs w:val="20"/>
        </w:rPr>
        <w:t xml:space="preserve"> coordonner les contrôles opérés sur les fournisseurs à l’échelle départementale et le cas échéant </w:t>
      </w:r>
      <w:r w:rsidR="00E207E3" w:rsidRPr="00472C3B">
        <w:rPr>
          <w:rFonts w:cstheme="minorHAnsi"/>
          <w:iCs/>
          <w:sz w:val="20"/>
          <w:szCs w:val="20"/>
        </w:rPr>
        <w:t xml:space="preserve">de </w:t>
      </w:r>
      <w:r w:rsidRPr="00472C3B">
        <w:rPr>
          <w:rFonts w:cstheme="minorHAnsi"/>
          <w:iCs/>
          <w:sz w:val="20"/>
          <w:szCs w:val="20"/>
        </w:rPr>
        <w:t xml:space="preserve">constater des carences déclaratives et opérer les procédures de rectification ou de versement </w:t>
      </w:r>
      <w:r w:rsidR="00472C3B" w:rsidRPr="00472C3B">
        <w:rPr>
          <w:rFonts w:cstheme="minorHAnsi"/>
          <w:iCs/>
          <w:sz w:val="20"/>
          <w:szCs w:val="20"/>
        </w:rPr>
        <w:t>d’office si</w:t>
      </w:r>
      <w:r w:rsidRPr="00472C3B">
        <w:rPr>
          <w:rFonts w:cstheme="minorHAnsi"/>
          <w:iCs/>
          <w:sz w:val="20"/>
          <w:szCs w:val="20"/>
        </w:rPr>
        <w:t xml:space="preserve"> nécessaire optimisant ainsi le rendement de la taxe pour la commune ;</w:t>
      </w:r>
    </w:p>
    <w:p w14:paraId="653088C8" w14:textId="77777777" w:rsidR="00037D65" w:rsidRPr="00472C3B" w:rsidRDefault="00037D65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FC3DB8" w14:textId="77777777" w:rsidR="00037D65" w:rsidRPr="00472C3B" w:rsidRDefault="00037D65" w:rsidP="00826452">
      <w:pPr>
        <w:spacing w:after="0" w:line="240" w:lineRule="auto"/>
        <w:ind w:firstLine="4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Le Maire propose au Conseil municipal de délibérer sur cette disposition et précise qu’elle demeure valable tant que la commune ne rapporte pas sa délibération par une nouvelle décision contraire.</w:t>
      </w:r>
    </w:p>
    <w:p w14:paraId="14D88640" w14:textId="77777777" w:rsidR="00037D65" w:rsidRPr="00472C3B" w:rsidRDefault="00037D65" w:rsidP="00826452">
      <w:pPr>
        <w:spacing w:after="0" w:line="240" w:lineRule="auto"/>
        <w:ind w:firstLine="4"/>
        <w:jc w:val="both"/>
        <w:rPr>
          <w:rFonts w:cstheme="minorHAnsi"/>
          <w:sz w:val="20"/>
          <w:szCs w:val="20"/>
        </w:rPr>
      </w:pPr>
    </w:p>
    <w:p w14:paraId="764C10CC" w14:textId="77777777" w:rsidR="00826452" w:rsidRPr="00472C3B" w:rsidRDefault="00826452" w:rsidP="00826452">
      <w:pPr>
        <w:spacing w:after="0" w:line="240" w:lineRule="auto"/>
        <w:ind w:firstLine="4"/>
        <w:jc w:val="both"/>
        <w:rPr>
          <w:rFonts w:cstheme="minorHAnsi"/>
          <w:sz w:val="20"/>
          <w:szCs w:val="20"/>
        </w:rPr>
      </w:pPr>
    </w:p>
    <w:p w14:paraId="5F2D563F" w14:textId="44A96116" w:rsidR="00826452" w:rsidRPr="00472C3B" w:rsidRDefault="00826452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 xml:space="preserve">Après en avoir délibéré, </w:t>
      </w:r>
      <w:r w:rsidRPr="00472C3B">
        <w:rPr>
          <w:rFonts w:cstheme="minorHAnsi"/>
          <w:i/>
          <w:sz w:val="20"/>
          <w:szCs w:val="20"/>
        </w:rPr>
        <w:t xml:space="preserve">à l’unanimité, </w:t>
      </w:r>
      <w:r w:rsidRPr="00472C3B">
        <w:rPr>
          <w:rFonts w:cstheme="minorHAnsi"/>
          <w:i/>
          <w:sz w:val="20"/>
          <w:szCs w:val="20"/>
          <w:highlight w:val="yellow"/>
        </w:rPr>
        <w:t>………</w:t>
      </w:r>
      <w:r w:rsidRPr="00472C3B">
        <w:rPr>
          <w:rFonts w:cstheme="minorHAnsi"/>
          <w:i/>
          <w:sz w:val="20"/>
          <w:szCs w:val="20"/>
        </w:rPr>
        <w:t xml:space="preserve"> voix pour, </w:t>
      </w:r>
      <w:r w:rsidRPr="00472C3B">
        <w:rPr>
          <w:rFonts w:cstheme="minorHAnsi"/>
          <w:i/>
          <w:sz w:val="20"/>
          <w:szCs w:val="20"/>
          <w:highlight w:val="yellow"/>
        </w:rPr>
        <w:t xml:space="preserve">……… </w:t>
      </w:r>
      <w:r w:rsidRPr="00472C3B">
        <w:rPr>
          <w:rFonts w:cstheme="minorHAnsi"/>
          <w:i/>
          <w:sz w:val="20"/>
          <w:szCs w:val="20"/>
        </w:rPr>
        <w:t xml:space="preserve">voix contre, </w:t>
      </w:r>
      <w:r w:rsidRPr="00472C3B">
        <w:rPr>
          <w:rFonts w:cstheme="minorHAnsi"/>
          <w:i/>
          <w:sz w:val="20"/>
          <w:szCs w:val="20"/>
          <w:highlight w:val="yellow"/>
        </w:rPr>
        <w:t xml:space="preserve">……….. </w:t>
      </w:r>
      <w:r w:rsidRPr="00472C3B">
        <w:rPr>
          <w:rFonts w:cstheme="minorHAnsi"/>
          <w:i/>
          <w:sz w:val="20"/>
          <w:szCs w:val="20"/>
        </w:rPr>
        <w:t>abstention</w:t>
      </w:r>
      <w:r w:rsidR="00823202">
        <w:rPr>
          <w:rFonts w:cstheme="minorHAnsi"/>
          <w:i/>
          <w:sz w:val="20"/>
          <w:szCs w:val="20"/>
        </w:rPr>
        <w:t>(s)</w:t>
      </w:r>
    </w:p>
    <w:p w14:paraId="69529DB4" w14:textId="77777777" w:rsidR="00826452" w:rsidRPr="00472C3B" w:rsidRDefault="00826452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78F508" w14:textId="0A90E7DF" w:rsidR="00826452" w:rsidRDefault="00E207E3" w:rsidP="00826452">
      <w:pPr>
        <w:spacing w:after="0" w:line="240" w:lineRule="auto"/>
        <w:ind w:firstLine="4"/>
        <w:jc w:val="both"/>
        <w:rPr>
          <w:rFonts w:cstheme="minorHAnsi"/>
          <w:bCs/>
          <w:iCs/>
          <w:sz w:val="20"/>
          <w:szCs w:val="20"/>
        </w:rPr>
      </w:pPr>
      <w:r w:rsidRPr="00472C3B">
        <w:rPr>
          <w:rFonts w:cstheme="minorHAnsi"/>
          <w:b/>
          <w:iCs/>
          <w:sz w:val="20"/>
          <w:szCs w:val="20"/>
        </w:rPr>
        <w:t>DECIDE</w:t>
      </w:r>
      <w:r w:rsidR="00826452" w:rsidRPr="00472C3B">
        <w:rPr>
          <w:rFonts w:cstheme="minorHAnsi"/>
          <w:b/>
          <w:iCs/>
          <w:sz w:val="20"/>
          <w:szCs w:val="20"/>
        </w:rPr>
        <w:t xml:space="preserve"> </w:t>
      </w:r>
      <w:r w:rsidR="00826452" w:rsidRPr="00472C3B">
        <w:rPr>
          <w:rFonts w:cstheme="minorHAnsi"/>
          <w:bCs/>
          <w:iCs/>
          <w:sz w:val="20"/>
          <w:szCs w:val="20"/>
        </w:rPr>
        <w:t>qu’à compter du 1</w:t>
      </w:r>
      <w:r w:rsidR="00826452" w:rsidRPr="00472C3B">
        <w:rPr>
          <w:rFonts w:cstheme="minorHAnsi"/>
          <w:bCs/>
          <w:iCs/>
          <w:sz w:val="20"/>
          <w:szCs w:val="20"/>
          <w:vertAlign w:val="superscript"/>
        </w:rPr>
        <w:t>er</w:t>
      </w:r>
      <w:r w:rsidR="00826452" w:rsidRPr="00472C3B">
        <w:rPr>
          <w:rFonts w:cstheme="minorHAnsi"/>
          <w:bCs/>
          <w:iCs/>
          <w:sz w:val="20"/>
          <w:szCs w:val="20"/>
        </w:rPr>
        <w:t xml:space="preserve"> janvier 202</w:t>
      </w:r>
      <w:r w:rsidRPr="00472C3B">
        <w:rPr>
          <w:rFonts w:cstheme="minorHAnsi"/>
          <w:bCs/>
          <w:iCs/>
          <w:sz w:val="20"/>
          <w:szCs w:val="20"/>
        </w:rPr>
        <w:t>2</w:t>
      </w:r>
      <w:r w:rsidR="00826452" w:rsidRPr="00472C3B">
        <w:rPr>
          <w:rFonts w:cstheme="minorHAnsi"/>
          <w:bCs/>
          <w:iCs/>
          <w:sz w:val="20"/>
          <w:szCs w:val="20"/>
        </w:rPr>
        <w:t xml:space="preserve">, le Syndicat </w:t>
      </w:r>
      <w:r w:rsidR="00E61132" w:rsidRPr="00472C3B">
        <w:rPr>
          <w:rFonts w:cstheme="minorHAnsi"/>
          <w:bCs/>
          <w:iCs/>
          <w:sz w:val="20"/>
          <w:szCs w:val="20"/>
        </w:rPr>
        <w:t xml:space="preserve">Départemental </w:t>
      </w:r>
      <w:r w:rsidR="00826452" w:rsidRPr="00472C3B">
        <w:rPr>
          <w:rFonts w:cstheme="minorHAnsi"/>
          <w:bCs/>
          <w:iCs/>
          <w:sz w:val="20"/>
          <w:szCs w:val="20"/>
        </w:rPr>
        <w:t xml:space="preserve">d’Electricité </w:t>
      </w:r>
      <w:r w:rsidR="00E61132" w:rsidRPr="00472C3B">
        <w:rPr>
          <w:rFonts w:cstheme="minorHAnsi"/>
          <w:bCs/>
          <w:iCs/>
          <w:sz w:val="20"/>
          <w:szCs w:val="20"/>
        </w:rPr>
        <w:t xml:space="preserve">de Meurthe-et-Moselle </w:t>
      </w:r>
      <w:r w:rsidR="00826452" w:rsidRPr="00472C3B">
        <w:rPr>
          <w:rFonts w:cstheme="minorHAnsi"/>
          <w:bCs/>
          <w:iCs/>
          <w:sz w:val="20"/>
          <w:szCs w:val="20"/>
        </w:rPr>
        <w:t xml:space="preserve">est substitué à la commune de </w:t>
      </w:r>
      <w:r w:rsidR="00826452" w:rsidRPr="00472C3B">
        <w:rPr>
          <w:rFonts w:cstheme="minorHAnsi"/>
          <w:bCs/>
          <w:iCs/>
          <w:sz w:val="20"/>
          <w:szCs w:val="20"/>
          <w:highlight w:val="yellow"/>
        </w:rPr>
        <w:t>……………..</w:t>
      </w:r>
      <w:r w:rsidR="00826452" w:rsidRPr="00472C3B">
        <w:rPr>
          <w:rFonts w:cstheme="minorHAnsi"/>
          <w:bCs/>
          <w:iCs/>
          <w:sz w:val="20"/>
          <w:szCs w:val="20"/>
        </w:rPr>
        <w:t xml:space="preserve"> pour la perception de la T</w:t>
      </w:r>
      <w:r w:rsidR="00DA7D81">
        <w:rPr>
          <w:rFonts w:cstheme="minorHAnsi"/>
          <w:bCs/>
          <w:iCs/>
          <w:sz w:val="20"/>
          <w:szCs w:val="20"/>
        </w:rPr>
        <w:t>C</w:t>
      </w:r>
      <w:r w:rsidR="00826452" w:rsidRPr="00472C3B">
        <w:rPr>
          <w:rFonts w:cstheme="minorHAnsi"/>
          <w:bCs/>
          <w:iCs/>
          <w:sz w:val="20"/>
          <w:szCs w:val="20"/>
        </w:rPr>
        <w:t>CFE sur son territoire</w:t>
      </w:r>
      <w:r w:rsidR="00472C3B" w:rsidRPr="00472C3B">
        <w:rPr>
          <w:rFonts w:cstheme="minorHAnsi"/>
          <w:bCs/>
          <w:iCs/>
          <w:sz w:val="20"/>
          <w:szCs w:val="20"/>
        </w:rPr>
        <w:t xml:space="preserve"> </w:t>
      </w:r>
      <w:r w:rsidR="00472C3B" w:rsidRPr="00472C3B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aux coefficients multiplicateurs règlementaires minimums fixés par l’article L5212-24 du code général des collectivités territoriales</w:t>
      </w:r>
      <w:r w:rsidR="00DA7D8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retenus par le SDE54 sur son territoire </w:t>
      </w:r>
      <w:r w:rsidR="00DA7D81">
        <w:rPr>
          <w:rFonts w:cstheme="minorHAnsi"/>
          <w:bCs/>
          <w:iCs/>
          <w:sz w:val="20"/>
          <w:szCs w:val="20"/>
        </w:rPr>
        <w:t>;</w:t>
      </w:r>
    </w:p>
    <w:p w14:paraId="69C28504" w14:textId="6675E542" w:rsidR="00DA7D81" w:rsidRDefault="00DA7D81" w:rsidP="00826452">
      <w:pPr>
        <w:spacing w:after="0" w:line="240" w:lineRule="auto"/>
        <w:ind w:firstLine="4"/>
        <w:jc w:val="both"/>
        <w:rPr>
          <w:rFonts w:cstheme="minorHAnsi"/>
          <w:bCs/>
          <w:iCs/>
          <w:sz w:val="20"/>
          <w:szCs w:val="20"/>
        </w:rPr>
      </w:pPr>
    </w:p>
    <w:p w14:paraId="449DA2B9" w14:textId="741C1E64" w:rsidR="00DA7D81" w:rsidRDefault="00DA7D81" w:rsidP="00DA7D81">
      <w:pPr>
        <w:spacing w:after="0" w:line="240" w:lineRule="auto"/>
        <w:ind w:firstLine="4"/>
        <w:jc w:val="both"/>
        <w:rPr>
          <w:rFonts w:cstheme="minorHAnsi"/>
          <w:bCs/>
          <w:iCs/>
          <w:sz w:val="20"/>
          <w:szCs w:val="20"/>
        </w:rPr>
      </w:pPr>
      <w:r w:rsidRPr="00DA7D81">
        <w:rPr>
          <w:rFonts w:cstheme="minorHAnsi"/>
          <w:b/>
          <w:iCs/>
          <w:sz w:val="20"/>
          <w:szCs w:val="20"/>
        </w:rPr>
        <w:t>APPROUVE</w:t>
      </w:r>
      <w:r w:rsidRPr="00DA7D81">
        <w:rPr>
          <w:rFonts w:cstheme="minorHAnsi"/>
          <w:bCs/>
          <w:iCs/>
          <w:sz w:val="20"/>
          <w:szCs w:val="20"/>
        </w:rPr>
        <w:t xml:space="preserve"> le reversement, de 97 % de la Taxe Communale sur la Consommation Finale d’Electricité perçue par le SDE54 sur le territoire de la commune et selon les modalités de versement arrêtées par le comité du SDE54 ;</w:t>
      </w:r>
    </w:p>
    <w:p w14:paraId="75C6CDFF" w14:textId="66D9B096" w:rsidR="00DA7D81" w:rsidRDefault="00DA7D81" w:rsidP="00DA7D81">
      <w:pPr>
        <w:spacing w:after="0" w:line="240" w:lineRule="auto"/>
        <w:ind w:firstLine="4"/>
        <w:jc w:val="both"/>
        <w:rPr>
          <w:rFonts w:cstheme="minorHAnsi"/>
          <w:bCs/>
          <w:iCs/>
          <w:sz w:val="20"/>
          <w:szCs w:val="20"/>
        </w:rPr>
      </w:pPr>
    </w:p>
    <w:p w14:paraId="48585B8F" w14:textId="31233171" w:rsidR="00DA7D81" w:rsidRPr="00DA7D81" w:rsidRDefault="00DA7D81" w:rsidP="00DA7D81">
      <w:pPr>
        <w:spacing w:after="0" w:line="240" w:lineRule="auto"/>
        <w:ind w:firstLine="4"/>
        <w:jc w:val="both"/>
        <w:rPr>
          <w:rFonts w:cstheme="minorHAnsi"/>
          <w:bCs/>
          <w:iCs/>
          <w:sz w:val="20"/>
          <w:szCs w:val="20"/>
        </w:rPr>
      </w:pPr>
      <w:r w:rsidRPr="00DA7D81">
        <w:rPr>
          <w:rFonts w:cstheme="minorHAnsi"/>
          <w:b/>
          <w:iCs/>
          <w:sz w:val="20"/>
          <w:szCs w:val="20"/>
        </w:rPr>
        <w:t>PRECISE</w:t>
      </w:r>
      <w:r>
        <w:rPr>
          <w:rFonts w:cstheme="minorHAnsi"/>
          <w:bCs/>
          <w:iCs/>
          <w:sz w:val="20"/>
          <w:szCs w:val="20"/>
        </w:rPr>
        <w:t xml:space="preserve"> que dans le SDE54 assurera toutes les formalités de vérification, de contrôle, d’optimisation et de recouvrement de la TCCFE </w:t>
      </w:r>
      <w:r w:rsidR="007D098C">
        <w:rPr>
          <w:rFonts w:cstheme="minorHAnsi"/>
          <w:bCs/>
          <w:iCs/>
          <w:sz w:val="20"/>
          <w:szCs w:val="20"/>
        </w:rPr>
        <w:t xml:space="preserve">pour le compte de la commune </w:t>
      </w:r>
      <w:r>
        <w:rPr>
          <w:rFonts w:cstheme="minorHAnsi"/>
          <w:bCs/>
          <w:iCs/>
          <w:sz w:val="20"/>
          <w:szCs w:val="20"/>
        </w:rPr>
        <w:t xml:space="preserve">et qu’une synthèse de sa gestion </w:t>
      </w:r>
      <w:r w:rsidR="007D098C">
        <w:rPr>
          <w:rFonts w:cstheme="minorHAnsi"/>
          <w:bCs/>
          <w:iCs/>
          <w:sz w:val="20"/>
          <w:szCs w:val="20"/>
        </w:rPr>
        <w:t xml:space="preserve">lui </w:t>
      </w:r>
      <w:r w:rsidR="000427FC">
        <w:rPr>
          <w:rFonts w:cstheme="minorHAnsi"/>
          <w:bCs/>
          <w:iCs/>
          <w:sz w:val="20"/>
          <w:szCs w:val="20"/>
        </w:rPr>
        <w:t>sera transmise lors</w:t>
      </w:r>
      <w:r>
        <w:rPr>
          <w:rFonts w:cstheme="minorHAnsi"/>
          <w:bCs/>
          <w:iCs/>
          <w:sz w:val="20"/>
          <w:szCs w:val="20"/>
        </w:rPr>
        <w:t xml:space="preserve"> de chaque versement ;</w:t>
      </w:r>
    </w:p>
    <w:p w14:paraId="61587DF8" w14:textId="77777777" w:rsidR="00E207E3" w:rsidRPr="00472C3B" w:rsidRDefault="00E207E3" w:rsidP="00826452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bdr w:val="none" w:sz="0" w:space="0" w:color="auto" w:frame="1"/>
        </w:rPr>
      </w:pPr>
    </w:p>
    <w:p w14:paraId="6634CFBD" w14:textId="122A575A" w:rsidR="00E207E3" w:rsidRPr="00472C3B" w:rsidRDefault="00E207E3" w:rsidP="00826452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472C3B">
        <w:rPr>
          <w:rFonts w:cstheme="minorHAnsi"/>
          <w:b/>
          <w:bCs/>
          <w:sz w:val="20"/>
          <w:szCs w:val="20"/>
          <w:bdr w:val="none" w:sz="0" w:space="0" w:color="auto" w:frame="1"/>
        </w:rPr>
        <w:t>PRECISE</w:t>
      </w:r>
      <w:r w:rsidRPr="00472C3B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472C3B">
        <w:rPr>
          <w:rFonts w:cstheme="minorHAnsi"/>
          <w:bCs/>
          <w:iCs/>
          <w:sz w:val="20"/>
          <w:szCs w:val="20"/>
        </w:rPr>
        <w:t>que, conformément à l’article L5212-24 du CGCT, cette délibération sera transmise au comptable public au plus tard le 15 juillet 2021</w:t>
      </w:r>
      <w:r w:rsidR="00472C3B" w:rsidRPr="00472C3B">
        <w:rPr>
          <w:rFonts w:cstheme="minorHAnsi"/>
          <w:bCs/>
          <w:iCs/>
          <w:sz w:val="20"/>
          <w:szCs w:val="20"/>
        </w:rPr>
        <w:t>.</w:t>
      </w:r>
    </w:p>
    <w:p w14:paraId="7220157F" w14:textId="77777777" w:rsidR="00E207E3" w:rsidRPr="00472C3B" w:rsidRDefault="00E207E3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E453DD" w14:textId="38B9593B" w:rsidR="00826452" w:rsidRPr="00472C3B" w:rsidRDefault="00826452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 xml:space="preserve">La présente délibération sera adressée au Président du Syndicat </w:t>
      </w:r>
      <w:r w:rsidR="00472C3B">
        <w:rPr>
          <w:rFonts w:cstheme="minorHAnsi"/>
          <w:sz w:val="20"/>
          <w:szCs w:val="20"/>
        </w:rPr>
        <w:t xml:space="preserve">Départemental </w:t>
      </w:r>
      <w:r w:rsidRPr="00472C3B">
        <w:rPr>
          <w:rFonts w:cstheme="minorHAnsi"/>
          <w:sz w:val="20"/>
          <w:szCs w:val="20"/>
        </w:rPr>
        <w:t xml:space="preserve">d’Electricité </w:t>
      </w:r>
      <w:r w:rsidR="00472C3B">
        <w:rPr>
          <w:rFonts w:cstheme="minorHAnsi"/>
          <w:sz w:val="20"/>
          <w:szCs w:val="20"/>
        </w:rPr>
        <w:t>de Meurthe et Moselle</w:t>
      </w:r>
      <w:r w:rsidRPr="00472C3B">
        <w:rPr>
          <w:rFonts w:cstheme="minorHAnsi"/>
          <w:sz w:val="20"/>
          <w:szCs w:val="20"/>
        </w:rPr>
        <w:t xml:space="preserve"> qui en informera les collectivités membres.</w:t>
      </w:r>
    </w:p>
    <w:p w14:paraId="53724F01" w14:textId="77777777" w:rsidR="00826452" w:rsidRPr="00472C3B" w:rsidRDefault="00826452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4DADCE" w14:textId="77777777" w:rsidR="00826452" w:rsidRPr="00472C3B" w:rsidRDefault="00826452" w:rsidP="008264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Le Maire est chargé de l’exécution de la présente délibération.</w:t>
      </w:r>
    </w:p>
    <w:p w14:paraId="1D2755C7" w14:textId="77777777" w:rsidR="00E207E3" w:rsidRPr="00472C3B" w:rsidRDefault="00E207E3" w:rsidP="00826452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</w:p>
    <w:p w14:paraId="5F21DC93" w14:textId="559A57CE" w:rsidR="00826452" w:rsidRPr="00472C3B" w:rsidRDefault="00826452" w:rsidP="00826452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Pour extrait conforme</w:t>
      </w:r>
    </w:p>
    <w:p w14:paraId="3117CD05" w14:textId="77777777" w:rsidR="00826452" w:rsidRPr="00472C3B" w:rsidRDefault="00826452" w:rsidP="00826452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..…………….….le ….……</w:t>
      </w:r>
    </w:p>
    <w:p w14:paraId="7920F595" w14:textId="77777777" w:rsidR="00826452" w:rsidRPr="00472C3B" w:rsidRDefault="00826452" w:rsidP="00826452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  <w:r w:rsidRPr="00472C3B">
        <w:rPr>
          <w:rFonts w:cstheme="minorHAnsi"/>
          <w:sz w:val="20"/>
          <w:szCs w:val="20"/>
        </w:rPr>
        <w:t>Le Maire</w:t>
      </w:r>
    </w:p>
    <w:sectPr w:rsidR="00826452" w:rsidRPr="00472C3B" w:rsidSect="000427F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960"/>
    <w:multiLevelType w:val="hybridMultilevel"/>
    <w:tmpl w:val="5B380EBC"/>
    <w:lvl w:ilvl="0" w:tplc="ECAE7988">
      <w:start w:val="1"/>
      <w:numFmt w:val="bullet"/>
      <w:lvlText w:val="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6FC16EC"/>
    <w:multiLevelType w:val="hybridMultilevel"/>
    <w:tmpl w:val="E0CA2AD6"/>
    <w:lvl w:ilvl="0" w:tplc="BFCA34FC">
      <w:start w:val="1"/>
      <w:numFmt w:val="bullet"/>
      <w:lvlText w:val=""/>
      <w:lvlJc w:val="left"/>
      <w:pPr>
        <w:ind w:left="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3B"/>
    <w:rsid w:val="00037D65"/>
    <w:rsid w:val="000427FC"/>
    <w:rsid w:val="001921C6"/>
    <w:rsid w:val="00472C3B"/>
    <w:rsid w:val="005417C1"/>
    <w:rsid w:val="00722CC4"/>
    <w:rsid w:val="007D098C"/>
    <w:rsid w:val="007D396F"/>
    <w:rsid w:val="00823202"/>
    <w:rsid w:val="00826452"/>
    <w:rsid w:val="00977ED5"/>
    <w:rsid w:val="0099163B"/>
    <w:rsid w:val="00BA62A2"/>
    <w:rsid w:val="00DA7D81"/>
    <w:rsid w:val="00E207E3"/>
    <w:rsid w:val="00E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1BD5A"/>
  <w15:chartTrackingRefBased/>
  <w15:docId w15:val="{6CA1704A-B87B-41F4-A15B-F99EDFED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Christelle.H</dc:creator>
  <cp:keywords/>
  <dc:description/>
  <cp:lastModifiedBy>Ste SDE54</cp:lastModifiedBy>
  <cp:revision>8</cp:revision>
  <cp:lastPrinted>2021-06-08T07:52:00Z</cp:lastPrinted>
  <dcterms:created xsi:type="dcterms:W3CDTF">2021-05-20T07:27:00Z</dcterms:created>
  <dcterms:modified xsi:type="dcterms:W3CDTF">2021-06-08T09:09:00Z</dcterms:modified>
</cp:coreProperties>
</file>